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06767.xml.htm"/>
      <w:bookmarkStart w:id="1" w:name="kswkform4_17806067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Marshall Cynthia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CHIME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CALIFORNIA STREET,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970"/>
        <w:gridCol w:w="453"/>
        <w:gridCol w:w="615"/>
        <w:gridCol w:w="1160"/>
        <w:gridCol w:w="995"/>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10,753</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48,548</w:t>
            </w:r>
            <w:r>
              <w:rPr>
                <w:rFonts w:ascii="Times;serif" w:hAnsi="Times;serif"/>
                <w:color w:val="008000"/>
                <w:position w:val="7"/>
                <w:sz w:val="16"/>
                <w:sz w:val="20"/>
                <w:shd w:fill="FFFFFF" w:val="clear"/>
              </w:rPr>
              <w:t>(2)</w:t>
            </w:r>
            <w:r>
              <w:rPr/>
              <w:t xml:space="preserve"> </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("RSUs"). Each RSU represents a contingent right to receive one share of the Issuer's Class A Common Stock. 100% of the RSUs shall vest on the earlier of (i) June 2, 2027 or (ii) the day immediately before the date of the Issuer's next annual meeting, subject to the Reporting Person continuing as a service provider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RSUs. Each RSU represents a contingent right to receive one share of the Issuer's Class A Common Stock, subject to the applicable vesting schedule and conditions of each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Reporting Person's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Reporting Person's daughter.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Theresa Bloom,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0725"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3747</Characters>
  <CharactersWithSpaces>4385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