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7195.xml.htm"/>
      <w:bookmarkStart w:id="1" w:name="kswkform4_17895971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FRANKEL ADAM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16.56</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466,830</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86,948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33.2269</w:t>
            </w:r>
            <w:r>
              <w:rPr>
                <w:rFonts w:ascii="Times;serif" w:hAnsi="Times;serif"/>
                <w:color w:val="008000"/>
                <w:position w:val="7"/>
                <w:sz w:val="16"/>
                <w:sz w:val="20"/>
                <w:shd w:fill="FFFFFF" w:val="clear"/>
              </w:rPr>
              <w:t>(3)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379,882</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15,054</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33.7846</w:t>
            </w:r>
            <w:r>
              <w:rPr>
                <w:rFonts w:ascii="Times;serif" w:hAnsi="Times;serif"/>
                <w:color w:val="008000"/>
                <w:position w:val="7"/>
                <w:sz w:val="16"/>
                <w:sz w:val="20"/>
                <w:shd w:fill="FFFFFF" w:val="clear"/>
              </w:rPr>
              <w:t>(4)</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364,828</w:t>
            </w:r>
            <w:r>
              <w:rPr>
                <w:rFonts w:ascii="Times;serif" w:hAnsi="Times;serif"/>
                <w:color w:val="008000"/>
                <w:position w:val="7"/>
                <w:sz w:val="16"/>
                <w:sz w:val="20"/>
                <w:shd w:fill="FFFFFF" w:val="clear"/>
              </w:rPr>
              <w:t>(1)</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16.56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213,567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Certain of these securities are restricted stock units ("RSUs"). Each RSU represents a contingent right to receive one share of the Issuer's Class A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reported on this Form 4 was effected pursuant to a Rule 10b5-1 trading plan, adopted June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$32.760 to $33.755 per share, inclusive. The Reporting Person undertakes to provide to the Issuer, any security holder of the Issuer, or the staff of the Securities Exchange Commission, upon request, full information regarding the number of shares sold at each separated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$33.76 to $33.96 per share, inclusive. The Reporting Person undertakes to provide to the Issuer, any security holder of the Issuer, or the staff of the Securities Exchange Commission, upon request, full information regarding the number of shares sold at each separated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1/4th of the shares subject to the option vested on August 8, 2024 and 1/48th of the shares vest monthly thereafter, subject to the Reporting Person's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Theresa Bloom,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1526"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4561</Characters>
  <CharactersWithSpaces>5316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